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CB07C6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7C6" w:rsidRDefault="00FF34A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CB07C6" w:rsidRDefault="00FF34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CB07C6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</w:tr>
      <w:tr w:rsidR="00CB07C6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CB07C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CB07C6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CB07C6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</w:tr>
      <w:tr w:rsidR="00CB07C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0"/>
              </w:rPr>
            </w:pPr>
          </w:p>
        </w:tc>
      </w:tr>
      <w:tr w:rsidR="00CB07C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06470126</w:t>
            </w:r>
          </w:p>
        </w:tc>
      </w:tr>
      <w:tr w:rsidR="00CB07C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0"/>
              </w:rPr>
            </w:pPr>
          </w:p>
        </w:tc>
      </w:tr>
      <w:tr w:rsidR="00CB07C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0"/>
              </w:rPr>
            </w:pPr>
          </w:p>
        </w:tc>
      </w:tr>
      <w:tr w:rsidR="00CB07C6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МИНИСТЕРСТВО ЦИФРОВОГО РАЗВИТИЯ И СВЯЗИ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819</w:t>
            </w:r>
          </w:p>
        </w:tc>
      </w:tr>
      <w:tr w:rsidR="00CB07C6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</w:tr>
      <w:tr w:rsidR="00CB07C6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CB07C6" w:rsidRDefault="00FF34AF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CB07C6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</w:tr>
      <w:tr w:rsidR="00CB07C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CB07C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</w:tr>
      <w:tr w:rsidR="00CB07C6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</w:tr>
    </w:tbl>
    <w:p w:rsidR="00CB07C6" w:rsidRDefault="00FF34AF">
      <w:pPr>
        <w:numPr>
          <w:ilvl w:val="0"/>
          <w:numId w:val="1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Организационная структура</w:t>
      </w:r>
    </w:p>
    <w:p w:rsidR="00CB07C6" w:rsidRDefault="00FF34AF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</w:t>
      </w:r>
      <w:r>
        <w:rPr>
          <w:rFonts w:ascii="Calibri" w:eastAsia="Calibri" w:hAnsi="Calibri" w:cs="Calibri"/>
          <w:color w:val="000000"/>
          <w:sz w:val="28"/>
          <w:szCs w:val="28"/>
        </w:rPr>
        <w:t>цифрового развития, транспорта и связи Пензенской области (далее – Министерство) является исполнительным органом государственной власти Пензенской области. Вышестоящая организация – Правительство Пензенской области. Министерство создано на основании постан</w:t>
      </w:r>
      <w:r>
        <w:rPr>
          <w:rFonts w:ascii="Calibri" w:eastAsia="Calibri" w:hAnsi="Calibri" w:cs="Calibri"/>
          <w:color w:val="000000"/>
          <w:sz w:val="28"/>
          <w:szCs w:val="28"/>
        </w:rPr>
        <w:t>овления Правительства Пензенской области от 08.12.2016 г.  № 621-пП «Отдельные вопросы исполнительных органов государственной власти Пензенской области». Поставлено на учет в налоговом органе 31.01.2017 г. Переименовано в Министерство цифрового развития, т</w:t>
      </w:r>
      <w:r>
        <w:rPr>
          <w:rFonts w:ascii="Calibri" w:eastAsia="Calibri" w:hAnsi="Calibri" w:cs="Calibri"/>
          <w:color w:val="000000"/>
          <w:sz w:val="28"/>
          <w:szCs w:val="28"/>
        </w:rPr>
        <w:t>ранспорта и связи Пензенской области на основании постановления Правительства Пензенской области от 12.07.2021 г. № 410-пП «Отдельные вопросы исполнительных органов государственной власти Пензенской области». Дата регистрации изменений в налоговом органе 0</w:t>
      </w:r>
      <w:r>
        <w:rPr>
          <w:rFonts w:ascii="Calibri" w:eastAsia="Calibri" w:hAnsi="Calibri" w:cs="Calibri"/>
          <w:color w:val="000000"/>
          <w:sz w:val="28"/>
          <w:szCs w:val="28"/>
        </w:rPr>
        <w:t>8.10.2021 г.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Юридический адрес: 440025, г. Пенза ул. Кураева 36А.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Численность Министерства по штатному расписанию - 29 человек, на 01.01.2024 - 26 человек.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Источники финансирования: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Бюджет Пензенской области на реализацию государственных программ </w:t>
      </w:r>
      <w:r>
        <w:rPr>
          <w:rFonts w:ascii="Calibri" w:eastAsia="Calibri" w:hAnsi="Calibri" w:cs="Calibri"/>
          <w:color w:val="000000"/>
          <w:sz w:val="28"/>
          <w:szCs w:val="28"/>
        </w:rPr>
        <w:t>Пензенской области, резервный фонд Правительства Пензенской области.</w:t>
      </w:r>
    </w:p>
    <w:p w:rsidR="00CB07C6" w:rsidRDefault="00FF34AF">
      <w:pPr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На основании постановления Правительства Пензенской области от 25.10.2021 г.  № 721-пП «О замене исполнительных органов государственной власти Пензенской области, осуществляющих функции 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полномочия учредителей государственных бюджетных и казенного учреждений Пензенской области Министерство является учредителем ГБУ «Безопасный регион», ГБУ ПО «Аэропорт города Пензы», ГКУ «Организатор перевозок Пензенской области». </w:t>
      </w:r>
      <w:proofErr w:type="gramEnd"/>
    </w:p>
    <w:p w:rsidR="00CB07C6" w:rsidRDefault="00FF34A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Численность ГКУ «Организ</w:t>
      </w:r>
      <w:r>
        <w:rPr>
          <w:rFonts w:ascii="Calibri" w:eastAsia="Calibri" w:hAnsi="Calibri" w:cs="Calibri"/>
          <w:color w:val="000000"/>
          <w:sz w:val="28"/>
          <w:szCs w:val="28"/>
        </w:rPr>
        <w:t>атор перевозок Пензенской области» по штатному расписанию составляет 20 человек, на 01.01.2024 - 16 человек.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Министерство осуществляет функции главного распорядителя бюджетных средств, предусмотренных на содержание Министерства и реализацию функций в соотв</w:t>
      </w:r>
      <w:r>
        <w:rPr>
          <w:rFonts w:ascii="Calibri" w:eastAsia="Calibri" w:hAnsi="Calibri" w:cs="Calibri"/>
          <w:color w:val="000000"/>
          <w:sz w:val="28"/>
          <w:szCs w:val="28"/>
        </w:rPr>
        <w:t>етствии с законом Пензенской области о бюджете Пензенской области, а также по утвержденным видам субсидий в рамках государственных программ Пензенской области «Формирование информационного общества в Пензенской области», утвержденной постановлением Правите</w:t>
      </w:r>
      <w:r>
        <w:rPr>
          <w:rFonts w:ascii="Calibri" w:eastAsia="Calibri" w:hAnsi="Calibri" w:cs="Calibri"/>
          <w:color w:val="000000"/>
          <w:sz w:val="28"/>
          <w:szCs w:val="28"/>
        </w:rPr>
        <w:t>льства Пензенской области от 05.11.2013 № 815-пП (с последующими изменениями), «Обеспечение общественного порядка и противодействие преступности 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Пензенской области», утвержденной постановлением Правительства Пензенской области от 22.10.2013 № 782-пП (с 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оследующими изменениями), «Развитие территорий, социальной и инженерной инфраструктуры, обеспечение транспортных услуг в Пензенской области», утвержденной постановлением Правительства Пензенской области от 26.09.2013 № 724-пП (с последующими изменениями). 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осуществляет отраслевое управление деятельностью в области информационных технологий, транспорта и связи.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ведется ГКУ Пензенской области «Центр бухгалтерского учета» на основании постановления Правительства Пензенской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области от 11.10.2022 № 865-пП.</w:t>
      </w:r>
    </w:p>
    <w:p w:rsidR="00CB07C6" w:rsidRDefault="00FF34A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CB07C6" w:rsidRDefault="00FF34A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CB07C6" w:rsidRDefault="00FF34AF">
      <w:pPr>
        <w:numPr>
          <w:ilvl w:val="0"/>
          <w:numId w:val="2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Результаты деятельности</w:t>
      </w:r>
    </w:p>
    <w:p w:rsidR="00CB07C6" w:rsidRDefault="00FF34AF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  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Объем бюджетных назначений по доходам за 2023 год составил 103 257,0 тыс. руб., в том числе:  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административные платежи и сборы – 9 978,0 тыс. руб.,  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штрафы, са</w:t>
      </w:r>
      <w:r>
        <w:rPr>
          <w:rFonts w:ascii="Calibri" w:eastAsia="Calibri" w:hAnsi="Calibri" w:cs="Calibri"/>
          <w:color w:val="000000"/>
          <w:sz w:val="28"/>
          <w:szCs w:val="28"/>
        </w:rPr>
        <w:t>нкции, возмещение ущерба – 9 717,0 тыс. руб.,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безвозмездные поступления – 83 562,0 тыс. руб.,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доходы от возврата остатков субсидий – 10 591,3 тыс. руб.    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Объем бюджетных назначений по расходам за 2023 год составил 2 947 992,</w:t>
      </w:r>
      <w:r>
        <w:rPr>
          <w:rFonts w:ascii="Calibri" w:eastAsia="Calibri" w:hAnsi="Calibri" w:cs="Calibri"/>
          <w:color w:val="000000"/>
          <w:sz w:val="28"/>
          <w:szCs w:val="28"/>
        </w:rPr>
        <w:t>0 тыс. руб., в том числе: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     -   на реализацию государственной программы Пензенской области «Формирование информационного общества в Пензенской области» – 146 678,0 тыс. руб., 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-  на реализацию государственной программы Пензенской области «Обеспечен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ие общественного порядка и противодействие преступности в Пензенской области» – 15 205,4 тыс. руб., 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-  на реализацию государственной программы Пензенской области «Развитие территорий, социальной и инженерной инфраструктуры, обеспечение транспортных у</w:t>
      </w:r>
      <w:r>
        <w:rPr>
          <w:rFonts w:ascii="Calibri" w:eastAsia="Calibri" w:hAnsi="Calibri" w:cs="Calibri"/>
          <w:color w:val="000000"/>
          <w:sz w:val="28"/>
          <w:szCs w:val="28"/>
        </w:rPr>
        <w:t>слуг в Пензенской области» – 2 702 032,5 тыс. руб.,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-  на мероприятия за счет средств резервного фонда Правительства Пензенской области – 82 297,8 тыс. руб.,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-  на иные непрограммные расходы органов государственной власти Пензенской области – 1 62</w:t>
      </w:r>
      <w:r>
        <w:rPr>
          <w:rFonts w:ascii="Calibri" w:eastAsia="Calibri" w:hAnsi="Calibri" w:cs="Calibri"/>
          <w:color w:val="000000"/>
          <w:sz w:val="28"/>
          <w:szCs w:val="28"/>
        </w:rPr>
        <w:t>3,3 тыс. руб.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Наличие на отчетную дату  основных средств – 1 444 855,4 тыс. руб., остаточная балансовая стоимость – 1 333 544,7 тыс. руб., нематериальные активы – 25 788,6 тыс. руб., остаточная балансовая стоимость – 5 047,9 тыс. руб., права пользования ак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тивами – 58 322,1 тыс. руб., основные средства до 3,0 тыс. руб.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– 1 715,6 тыс. руб., прочие  материальные запасы  – 1 203,4 тыс. руб.  </w:t>
      </w:r>
      <w:proofErr w:type="gramEnd"/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94% основных средств имеют 100 % амортизацию. Имеется потребность в приобретении офисной техники. Сохраннос</w:t>
      </w:r>
      <w:r>
        <w:rPr>
          <w:rFonts w:ascii="Calibri" w:eastAsia="Calibri" w:hAnsi="Calibri" w:cs="Calibri"/>
          <w:color w:val="000000"/>
          <w:sz w:val="28"/>
          <w:szCs w:val="28"/>
        </w:rPr>
        <w:t>ть основных средств обеспечивается в рабочее время сотрудниками Министерства, в нерабочее время ГБУ «Управление делами Губернатора и Правительства Пензенской области». Материальные запасы приобретаются по мере необходимости.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закупок за отчетный перио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д составил 1 878 465,0 тыс. руб., в том числе с применением конкурентных способов 782 039,3 тыс. руб. Экономия от торгов составила 1 970,8 тыс. руб. 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Количественные показатели результатов деятельности Министерства цифрового развития, транспорта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 связи Пензенской области по достижению стратегических целей и задач социально-экономического развития Пензенской области за 2023 год  выполнены  в полном объеме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от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плановых, в том числе: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Показатель 1. Доля граждан, проживающих на территории Пензенской об</w:t>
      </w:r>
      <w:r>
        <w:rPr>
          <w:rFonts w:ascii="Calibri" w:eastAsia="Calibri" w:hAnsi="Calibri" w:cs="Calibri"/>
          <w:color w:val="000000"/>
          <w:sz w:val="28"/>
          <w:szCs w:val="28"/>
        </w:rPr>
        <w:t>ласти, зарегистрированных в Федеральной государственной информационной системе "Единая система идентификац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ии и ау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тентификации" – 75,3 %, по плану 75 %.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Показатель 2. Коэффициент регулярности транспортного сообщения – 97,2%, по плану 75%.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Расходы на курсы </w:t>
      </w:r>
      <w:r>
        <w:rPr>
          <w:rFonts w:ascii="Calibri" w:eastAsia="Calibri" w:hAnsi="Calibri" w:cs="Calibri"/>
          <w:color w:val="000000"/>
          <w:sz w:val="28"/>
          <w:szCs w:val="28"/>
        </w:rPr>
        <w:t>повышения квалификации не проводились.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B07C6" w:rsidRDefault="00FF34A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</w:t>
      </w:r>
    </w:p>
    <w:p w:rsidR="00CB07C6" w:rsidRDefault="00FF34AF">
      <w:pPr>
        <w:numPr>
          <w:ilvl w:val="0"/>
          <w:numId w:val="3"/>
        </w:numPr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Анализ отчета об исполнении бюджета</w:t>
      </w:r>
    </w:p>
    <w:p w:rsidR="00CB07C6" w:rsidRDefault="00FF34AF">
      <w:pPr>
        <w:ind w:left="10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Неоднократно вносились изменения в бюджетную роспись в соответствии с Законом Пензенской области «О внесении изменений в Закон Пензенской области «О бюджете Пензенс</w:t>
      </w:r>
      <w:r>
        <w:rPr>
          <w:rFonts w:ascii="Calibri" w:eastAsia="Calibri" w:hAnsi="Calibri" w:cs="Calibri"/>
          <w:color w:val="000000"/>
          <w:sz w:val="28"/>
          <w:szCs w:val="28"/>
        </w:rPr>
        <w:t>кой области на 2023 год и на плановый период 2024 и 2025 годов» от 14.06.2023 № 4022-ЗПО,  от 24.11.2023 № 4103-ЗПО, от 19.12.2023 № 4115-ЗПО, как в строну уменьшения ассигнований, так и в сторону увеличения объемов ассигнований</w:t>
      </w:r>
      <w:proofErr w:type="gramEnd"/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Данные о результатах кассов</w:t>
      </w:r>
      <w:r>
        <w:rPr>
          <w:rFonts w:ascii="Calibri" w:eastAsia="Calibri" w:hAnsi="Calibri" w:cs="Calibri"/>
          <w:color w:val="000000"/>
          <w:sz w:val="28"/>
          <w:szCs w:val="28"/>
        </w:rPr>
        <w:t>ого исполнения бюджета, отклонения между плановыми и фактическими показателями, причины отклонений между суммами исполненных бюджетных назначений и данными уточненной бюджетной росписи  отражены в форме № 0503164 «Сведения о кассовом исполнении бюджета».  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9225" w:type="dxa"/>
        <w:tblInd w:w="25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1"/>
        <w:gridCol w:w="3466"/>
        <w:gridCol w:w="1645"/>
        <w:gridCol w:w="2043"/>
      </w:tblGrid>
      <w:tr w:rsidR="00CB07C6"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КБК</w:t>
            </w:r>
          </w:p>
        </w:tc>
        <w:tc>
          <w:tcPr>
            <w:tcW w:w="3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% исполнения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Пояснения</w:t>
            </w:r>
          </w:p>
        </w:tc>
      </w:tr>
      <w:tr w:rsidR="00CB07C6">
        <w:tc>
          <w:tcPr>
            <w:tcW w:w="1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819 0408 16201R2760000 000</w:t>
            </w:r>
          </w:p>
        </w:tc>
        <w:tc>
          <w:tcPr>
            <w:tcW w:w="3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Субсидии на переоборудование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94,23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Экономия в сумме 95,2 тыс. руб. при заключении соглашения с получателем субсидии.</w:t>
            </w:r>
          </w:p>
        </w:tc>
      </w:tr>
    </w:tbl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В рамках реализации национального проекта «Цифровая экономика», сформированы региональные проекты: «Информационная инфраструктура», «Цифровое государственное управ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ление», «Цифровые технологии», «Информационная безопасность», «Кадры для цифровой экономики». 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рамках реализации национального проекта «Безопасные качественные дороги» сформирован региональный проект «Общесистемные меры развития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дорожного хозяйства». Кас</w:t>
      </w:r>
      <w:r>
        <w:rPr>
          <w:rFonts w:ascii="Calibri" w:eastAsia="Calibri" w:hAnsi="Calibri" w:cs="Calibri"/>
          <w:color w:val="000000"/>
          <w:sz w:val="28"/>
          <w:szCs w:val="28"/>
        </w:rPr>
        <w:t>совое исполнение 97 579,0 тыс. руб., 99,94 % от плана.  </w:t>
      </w:r>
    </w:p>
    <w:p w:rsidR="00CB07C6" w:rsidRDefault="00FF34A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CB07C6" w:rsidRDefault="00FF34AF">
      <w:pPr>
        <w:numPr>
          <w:ilvl w:val="0"/>
          <w:numId w:val="4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Анализ показателей финансовой отчетности</w:t>
      </w:r>
    </w:p>
    <w:p w:rsidR="00CB07C6" w:rsidRDefault="00FF34AF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> </w:t>
      </w:r>
    </w:p>
    <w:p w:rsidR="00CB07C6" w:rsidRDefault="00FF34AF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Расшифровка показателей бухгалтерской отчетности по сегментам </w:t>
      </w:r>
    </w:p>
    <w:p w:rsidR="00CB07C6" w:rsidRDefault="00FF34AF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в отношении кредиторской задолженности</w:t>
      </w:r>
    </w:p>
    <w:tbl>
      <w:tblPr>
        <w:tblW w:w="4900" w:type="pct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1559"/>
        <w:gridCol w:w="1361"/>
        <w:gridCol w:w="1163"/>
        <w:gridCol w:w="1163"/>
        <w:gridCol w:w="1361"/>
        <w:gridCol w:w="1543"/>
      </w:tblGrid>
      <w:tr w:rsidR="00CB07C6"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Счет бухгалтерского учета</w:t>
            </w:r>
          </w:p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Показатель задолженности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на отчетную дату всего,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1, руб.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2, руб.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 по сегментам 1, 2 и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% задолженности по сегментам 1,2 и 3 от общей суммы задолженности</w:t>
            </w:r>
          </w:p>
        </w:tc>
      </w:tr>
      <w:tr w:rsidR="00CB07C6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20500000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B07C6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20800000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680,00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B07C6">
        <w:trPr>
          <w:trHeight w:val="37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20900000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7288,02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B07C6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30200000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B07C6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30300000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B07C6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30400000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B07C6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7968,02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</w:tbl>
    <w:p w:rsidR="00CB07C6" w:rsidRDefault="00FF34AF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> </w:t>
      </w:r>
    </w:p>
    <w:p w:rsidR="00CB07C6" w:rsidRDefault="00FF34AF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Расшифровка показателей бухгалтерской отчетности по сегментам </w:t>
      </w:r>
    </w:p>
    <w:p w:rsidR="00CB07C6" w:rsidRDefault="00FF34AF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в отношении дебиторской задолженности</w:t>
      </w:r>
    </w:p>
    <w:tbl>
      <w:tblPr>
        <w:tblW w:w="4900" w:type="pct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6"/>
        <w:gridCol w:w="1543"/>
        <w:gridCol w:w="1384"/>
        <w:gridCol w:w="1083"/>
        <w:gridCol w:w="1184"/>
        <w:gridCol w:w="1385"/>
        <w:gridCol w:w="1543"/>
      </w:tblGrid>
      <w:tr w:rsidR="00CB07C6"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Счет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бухгалтерского учета</w:t>
            </w:r>
          </w:p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Показатель задолженности на отчетную дату всего,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1, руб.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2, руб.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 по сегментам 1, 2 и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% задолженности по сегментам 1,2 и 3 от общей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суммы задолженности</w:t>
            </w:r>
          </w:p>
        </w:tc>
      </w:tr>
      <w:tr w:rsidR="00CB07C6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20500000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222738242,71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222725700,00</w:t>
            </w:r>
          </w:p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222725700,00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99,99</w:t>
            </w:r>
          </w:p>
        </w:tc>
      </w:tr>
      <w:tr w:rsidR="00CB07C6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20600000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978630367,07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</w:t>
            </w:r>
          </w:p>
        </w:tc>
      </w:tr>
      <w:tr w:rsidR="00CB07C6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20800000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13049,50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</w:t>
            </w:r>
          </w:p>
        </w:tc>
      </w:tr>
      <w:tr w:rsidR="00CB07C6">
        <w:trPr>
          <w:trHeight w:val="37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20900000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2123400,00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B07C6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30200000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B07C6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30300000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46684,00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46684,00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46684,00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100</w:t>
            </w:r>
          </w:p>
        </w:tc>
      </w:tr>
      <w:tr w:rsidR="00CB07C6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30400000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B07C6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1203551743.28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222772384,00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222772384,00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18,5</w:t>
            </w:r>
          </w:p>
        </w:tc>
      </w:tr>
    </w:tbl>
    <w:p w:rsidR="00CB07C6" w:rsidRDefault="00FF34AF">
      <w:pPr>
        <w:spacing w:line="300" w:lineRule="atLeast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Показатели, характеризующие финансовую отчетность, отражены в  следующих приложениях к  пояснительной записке: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Сведения о движении нефинансовых активов (ф. 0503168);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Приобретены: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</w:t>
      </w:r>
      <w:r>
        <w:rPr>
          <w:rFonts w:ascii="Calibri" w:eastAsia="Calibri" w:hAnsi="Calibri" w:cs="Calibri"/>
          <w:color w:val="000000"/>
          <w:sz w:val="28"/>
          <w:szCs w:val="28"/>
        </w:rPr>
        <w:t>Троллейбусы пассажирские (54 ед.) 1 340 500,0 тыс. руб.;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оборудование для ситуационного центра – 37 960,5 тыс. руб.;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компьютерная и офисная техника для военкоматов Пензенской области – 7 168,5 тыс. руб.;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компьютерная и офисная техника для </w:t>
      </w:r>
      <w:r>
        <w:rPr>
          <w:rFonts w:ascii="Calibri" w:eastAsia="Calibri" w:hAnsi="Calibri" w:cs="Calibri"/>
          <w:color w:val="000000"/>
          <w:sz w:val="28"/>
          <w:szCs w:val="28"/>
        </w:rPr>
        <w:t>Министерства и ГКУ «Организатор перевозок Пензенской области» – 984,2 тыс. руб.</w:t>
      </w:r>
    </w:p>
    <w:p w:rsidR="00CB07C6" w:rsidRDefault="00FF34A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 основании приказов Министерства государственного имущества Пензенской области от 11.05.2023 № 144-пр, от 12.05.2023 № 147-пр, от 15.05.2023 № 148-пр, от 29.06.2023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№ 237-пр, от 31.07.2023 № 321-пр, от 23.08.2023 № 353-пр, от 31.08.2023 № 359-пр, от 23.10.2023 № 443-пр, от 01.12.2023 № 518-пр, от 27.12.2023 № 569-пр передано безвозмездно ГКУ «Организатор перевозок Пензенской области» транспортные средства на сумму 1 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340 500,0 тыс. руб. </w:t>
      </w:r>
      <w:proofErr w:type="gramEnd"/>
    </w:p>
    <w:p w:rsidR="00CB07C6" w:rsidRDefault="00FF34A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На основании приказа Министерства государственного имущества Пензенской области от 13.02.2023 № 36-пр передано безвозмездно в муниципальную собственность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Колышлейского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района Пензенской области иное движимое имущество на сумму 280,3 ты</w:t>
      </w:r>
      <w:r>
        <w:rPr>
          <w:rFonts w:ascii="Calibri" w:eastAsia="Calibri" w:hAnsi="Calibri" w:cs="Calibri"/>
          <w:color w:val="000000"/>
          <w:sz w:val="28"/>
          <w:szCs w:val="28"/>
        </w:rPr>
        <w:t>с. руб.                                       </w:t>
      </w:r>
    </w:p>
    <w:p w:rsidR="00CB07C6" w:rsidRDefault="00FF34A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На основании приказа Министерства государственного имущества Пензенской области получено безвозмездно от Министерства экономического развития и промышленности Пензенской области материальные запасы н</w:t>
      </w:r>
      <w:r>
        <w:rPr>
          <w:rFonts w:ascii="Calibri" w:eastAsia="Calibri" w:hAnsi="Calibri" w:cs="Calibri"/>
          <w:color w:val="000000"/>
          <w:sz w:val="28"/>
          <w:szCs w:val="28"/>
        </w:rPr>
        <w:t>а сумму 34,7 тыс. руб.</w:t>
      </w:r>
    </w:p>
    <w:p w:rsidR="00CB07C6" w:rsidRDefault="00FF34A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по дебиторской и кредиторской задолженности по состоянию на 01.01.2024 г. приведены в ф. 0503169 приложения.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Кредиторская задолженность на 01.01.2023 г. составляет 7,97 тыс. руб., в том числе: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по доходам: штрафы – 7,3 тыс</w:t>
      </w:r>
      <w:r>
        <w:rPr>
          <w:rFonts w:ascii="Calibri" w:eastAsia="Calibri" w:hAnsi="Calibri" w:cs="Calibri"/>
          <w:color w:val="000000"/>
          <w:sz w:val="28"/>
          <w:szCs w:val="28"/>
        </w:rPr>
        <w:t>. руб.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по расходам: 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по статье 226 «Прочие работы, услуги» - командировочные 0,7 тыс. руб. 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Дебиторская задолженность, всего -1 203 551,7 тыс. руб., в том числе:</w:t>
      </w:r>
    </w:p>
    <w:p w:rsidR="00CB07C6" w:rsidRDefault="00FF34A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по доходам:</w:t>
      </w:r>
    </w:p>
    <w:p w:rsidR="00CB07C6" w:rsidRDefault="00FF34A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по статье 151 "Поступления текущего характера от д</w:t>
      </w:r>
      <w:r>
        <w:rPr>
          <w:rFonts w:ascii="Calibri" w:eastAsia="Calibri" w:hAnsi="Calibri" w:cs="Calibri"/>
          <w:color w:val="000000"/>
          <w:sz w:val="28"/>
          <w:szCs w:val="28"/>
        </w:rPr>
        <w:t>ругих бюджетов бюджетной системы Российской Федерации"- 222 725,7 тыс. руб., в том числе:</w:t>
      </w:r>
    </w:p>
    <w:p w:rsidR="00CB07C6" w:rsidRDefault="00FF34A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-субсидия, иной межбюджетный трансферт, имеющий целевое значение в целях внедрения автоматизированных 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робототизированных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технологий организации дорожного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движения и контроля за соблюдением правил дорожного движения (внедрения интеллектуальных транспортных систем, предусматривающих автоматизацию процессов управления дорожным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движением в городских агломерациях, включающих города с населением свыше 300 тысяч ч</w:t>
      </w:r>
      <w:r>
        <w:rPr>
          <w:rFonts w:ascii="Calibri" w:eastAsia="Calibri" w:hAnsi="Calibri" w:cs="Calibri"/>
          <w:color w:val="000000"/>
          <w:sz w:val="28"/>
          <w:szCs w:val="28"/>
        </w:rPr>
        <w:t>еловек) на 2024-2026 г. – 222 725,7 тыс. руб., в том числе долгосрочная – 178 117,8 тыс. руб.;</w:t>
      </w:r>
      <w:proofErr w:type="gramEnd"/>
    </w:p>
    <w:p w:rsidR="00CB07C6" w:rsidRDefault="00FF34A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по статье 140 «Расчеты по доходам от прочих сумм принудительного изъятия» - 12,5 тыс. руб., в том числе:</w:t>
      </w:r>
    </w:p>
    <w:p w:rsidR="00CB07C6" w:rsidRDefault="00FF34A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-штрафы по постановлениям об админис</w:t>
      </w:r>
      <w:r>
        <w:rPr>
          <w:rFonts w:ascii="Calibri" w:eastAsia="Calibri" w:hAnsi="Calibri" w:cs="Calibri"/>
          <w:color w:val="000000"/>
          <w:sz w:val="28"/>
          <w:szCs w:val="28"/>
        </w:rPr>
        <w:t>тративной ответственности– 12,5 тыс. руб.</w:t>
      </w:r>
    </w:p>
    <w:p w:rsidR="00CB07C6" w:rsidRDefault="00FF34AF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пени за просрочку исполнения контракта – 2 123,4 тыс. руб.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расходам – 1 650 075,1 тыс. руб., в том числе: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статье 221 «услуги связи» - 18,0 тыс. руб.;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статье 310 «увеличение стоимости основных с</w:t>
      </w:r>
      <w:r>
        <w:rPr>
          <w:rFonts w:ascii="Calibri" w:eastAsia="Calibri" w:hAnsi="Calibri" w:cs="Calibri"/>
          <w:color w:val="000000"/>
          <w:sz w:val="28"/>
          <w:szCs w:val="28"/>
        </w:rPr>
        <w:t>редств» - 978 318,0 тыс. руб., в том числе: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- 733 318,0 тыс. руб. аванс по государственному контракту № 4-К-2022 от 14.11.2022 г., заключенному с АО «Уфимский трамвайно-троллейбусный завод» на поставку троллейбусов. Контракт заключен за счет средств бюджет</w:t>
      </w:r>
      <w:r>
        <w:rPr>
          <w:rFonts w:ascii="Calibri" w:eastAsia="Calibri" w:hAnsi="Calibri" w:cs="Calibri"/>
          <w:color w:val="000000"/>
          <w:sz w:val="28"/>
          <w:szCs w:val="28"/>
        </w:rPr>
        <w:t>ного кредита, предоставленного бюджету Пензенской области на финансовое обеспечение реализации инфраструктурных проектов. Цена контракта 2 232 000,0 тыс. руб. Срок поставки – до 30.04.2024 г.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- 245 000,00 тыс. руб. аванс по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</w:t>
      </w:r>
      <w:proofErr w:type="spellEnd"/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государственному контракту № </w:t>
      </w:r>
      <w:r>
        <w:rPr>
          <w:rFonts w:ascii="Calibri" w:eastAsia="Calibri" w:hAnsi="Calibri" w:cs="Calibri"/>
          <w:color w:val="000000"/>
          <w:sz w:val="28"/>
          <w:szCs w:val="28"/>
        </w:rPr>
        <w:t>11-К-2023 от 09.10.2023 г., заключенному с ООО «Транспортный центр» на поставку автобусов. Контракт заключен за счет сре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дств сп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ециального казначейского кредита. Цена контракта 499 527,0 тыс. руб. Срок поставки – до 01.02.2024 г.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статье 226 «прочие работ</w:t>
      </w:r>
      <w:r>
        <w:rPr>
          <w:rFonts w:ascii="Calibri" w:eastAsia="Calibri" w:hAnsi="Calibri" w:cs="Calibri"/>
          <w:color w:val="000000"/>
          <w:sz w:val="28"/>
          <w:szCs w:val="28"/>
        </w:rPr>
        <w:t>ы, услуги» - 300,0 тыс. руб. аванс за экспертизу приемки транспортных средств по контрактам.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Сведения по изменению валюты баланса  приведены в ф. 0503173 приложения. 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изменился показатель «вложения в нефинансовые активы» ГКУ «Организатор перевозок </w:t>
      </w:r>
      <w:r>
        <w:rPr>
          <w:rFonts w:ascii="Calibri" w:eastAsia="Calibri" w:hAnsi="Calibri" w:cs="Calibri"/>
          <w:color w:val="000000"/>
          <w:sz w:val="28"/>
          <w:szCs w:val="28"/>
        </w:rPr>
        <w:t>Пензенской области».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Бюджетному учреждению Пензенской области «Безопасный регион» в целях осуществления деятельности, предусмотренной Уставом, утверждены государственные задания: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1) на выполнение работ по техническому сопровождению и эксплуатаци</w:t>
      </w:r>
      <w:r>
        <w:rPr>
          <w:rFonts w:ascii="Calibri" w:eastAsia="Calibri" w:hAnsi="Calibri" w:cs="Calibri"/>
          <w:color w:val="000000"/>
          <w:sz w:val="28"/>
          <w:szCs w:val="28"/>
        </w:rPr>
        <w:t>и, выводу из эксплуатации информационных систем и компонентов информационно-телекоммуникационной инфраструктуры, содержащее количественные показатели результатов деятельности ГБУ «Безопасный регион» по достижению стратегических целей и задач развития на 20</w:t>
      </w:r>
      <w:r>
        <w:rPr>
          <w:rFonts w:ascii="Calibri" w:eastAsia="Calibri" w:hAnsi="Calibri" w:cs="Calibri"/>
          <w:color w:val="000000"/>
          <w:sz w:val="28"/>
          <w:szCs w:val="28"/>
        </w:rPr>
        <w:t>23 в следующих объемах: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- 1 703 429 шт. вынесенных и отправленных постановлений о нарушениях правил дорожного движения.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В результате исполнения мероприятия за 12 месяцев 2023 года была предоставлена информация о фиксации 1 706 672 ед. нарушений ПДД, количе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ство обработанных постановлений составило 1 706 672 ед., а отправленных 1 704 422 ед. Разница между обработанными и отправленными постановлениями в 2 250 ед. образовалась в результате невозможности отправки постановлений в 2023 году по следующим причинам: </w:t>
      </w:r>
      <w:proofErr w:type="gramEnd"/>
    </w:p>
    <w:p w:rsidR="00CB07C6" w:rsidRDefault="00FF34AF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Разница между обработанными и отправленными постановлениями в 2 250 ед. образовалась в результате невозможности отправки постановлений в 2023 году в соответствии с правилами направления экземпляров постановлений и копий решений по жалобам на постановления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по делу об административном правонарушении и материалов, полученных с применением работающих в автоматическом режиме специальных технических средств, имеющих функции фото- и киносъемки, видеозаписи, или средств фот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о-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и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киносъемки, видеозаписи, лицу, в отн</w:t>
      </w:r>
      <w:r>
        <w:rPr>
          <w:rFonts w:ascii="Calibri" w:eastAsia="Calibri" w:hAnsi="Calibri" w:cs="Calibri"/>
          <w:color w:val="000000"/>
          <w:sz w:val="28"/>
          <w:szCs w:val="28"/>
        </w:rPr>
        <w:t>ошении которого возбуждено дело об административном правонарушении, в форме электронного документа, подписанного усиленной квалифицированной электронной подписью уполномоченного должностного лица, с использованием Единого портала государственных и муниципа</w:t>
      </w:r>
      <w:r>
        <w:rPr>
          <w:rFonts w:ascii="Calibri" w:eastAsia="Calibri" w:hAnsi="Calibri" w:cs="Calibri"/>
          <w:color w:val="000000"/>
          <w:sz w:val="28"/>
          <w:szCs w:val="28"/>
        </w:rPr>
        <w:t>льных услуг, утвержденными постановлением Правительства Российской Федерации от 19.06.2021 № 947, Постановление считается доставленным (врученным) адресату в соответствии с пунктом 3 настоящих Правил на следующий день с момента его размещения в личном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каби</w:t>
      </w:r>
      <w:r>
        <w:rPr>
          <w:rFonts w:ascii="Calibri" w:eastAsia="Calibri" w:hAnsi="Calibri" w:cs="Calibri"/>
          <w:color w:val="000000"/>
          <w:sz w:val="28"/>
          <w:szCs w:val="28"/>
        </w:rPr>
        <w:t>нете адресата на едином портале (при наличии согласия адресата на получение постановлений исключительно в личный кабинет на едином портале) или с момента входа адресата на единый портал с использованием единой системы идентификации и аутентификации в течен</w:t>
      </w:r>
      <w:r>
        <w:rPr>
          <w:rFonts w:ascii="Calibri" w:eastAsia="Calibri" w:hAnsi="Calibri" w:cs="Calibri"/>
          <w:color w:val="000000"/>
          <w:sz w:val="28"/>
          <w:szCs w:val="28"/>
        </w:rPr>
        <w:t>ие 7 дней со дня размещения постановления в личном кабинете на едином портале.</w:t>
      </w:r>
      <w:proofErr w:type="gramEnd"/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 рамках обслуживания и поддержания функционирования аппаратно-программного комплекса АПК «Безопасный город» запланированный показатель количество обслуживаемых IP камер наруж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ного видеонаблюдения - 200 шт., в течение 2023 года обслуживали 200 камер; качественный показатель количество сбоев в системе, повлекшее за собой ее неработоспособность в течение 24 часов и более - 23/67 шт./час. Показатель исполнения за отчетный период – </w:t>
      </w:r>
      <w:r>
        <w:rPr>
          <w:rFonts w:ascii="Calibri" w:eastAsia="Calibri" w:hAnsi="Calibri" w:cs="Calibri"/>
          <w:color w:val="000000"/>
          <w:sz w:val="28"/>
          <w:szCs w:val="28"/>
        </w:rPr>
        <w:t>6/15 шт./час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2) на выполнение работы по внедрению, эксплуатации и обслуживанию аппаратно-программного комплекса для обеспечения бесперебойной и безаварийной работы системы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фотовидеофиксации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нарушений Правил дорожного движения, содержащие показатели резул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ьтатов деятельности в следующих объемах: 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- количество созданных и обслуживаемых аппаратно-программных комплексов запланировано - 1 шт., со средним сроком простоя государственных информационных систем в результате компьютерных атак не более 70 часов, за от</w:t>
      </w:r>
      <w:r>
        <w:rPr>
          <w:rFonts w:ascii="Calibri" w:eastAsia="Calibri" w:hAnsi="Calibri" w:cs="Calibri"/>
          <w:color w:val="000000"/>
          <w:sz w:val="28"/>
          <w:szCs w:val="28"/>
        </w:rPr>
        <w:t>четный период средний срок простоя составил 10 час;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количество размещенных виртуальных программно-аппаратных систем 126 шт. со временем реакции на запросы обслуживания – не более 24 часов.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В отчетном период размещено 126 шт. виртуальных программно-аппара</w:t>
      </w:r>
      <w:r>
        <w:rPr>
          <w:rFonts w:ascii="Calibri" w:eastAsia="Calibri" w:hAnsi="Calibri" w:cs="Calibri"/>
          <w:color w:val="000000"/>
          <w:sz w:val="28"/>
          <w:szCs w:val="28"/>
        </w:rPr>
        <w:t>тных систем; время реакции на запрос обслуживания – 18 часов;</w:t>
      </w:r>
      <w:proofErr w:type="gramEnd"/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3) на внедрение, развитие и модернизация элементов интеллектуальной транспортной системы Пензенской агломерации и элементов автоматизированных систем управления дорожным движением, в том числе э</w:t>
      </w:r>
      <w:r>
        <w:rPr>
          <w:rFonts w:ascii="Calibri" w:eastAsia="Calibri" w:hAnsi="Calibri" w:cs="Calibri"/>
          <w:color w:val="000000"/>
          <w:sz w:val="28"/>
          <w:szCs w:val="28"/>
        </w:rPr>
        <w:t>лементов систем передачи данных показатели результатов деятельности: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создание и техническое сопровождение объектов интеллектуальной транспортной системы Пензенской агломерации – 65 шт. На текущую отчетную дату исполнение составило 65 шт.;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4) на выполнени</w:t>
      </w:r>
      <w:r>
        <w:rPr>
          <w:rFonts w:ascii="Calibri" w:eastAsia="Calibri" w:hAnsi="Calibri" w:cs="Calibri"/>
          <w:color w:val="000000"/>
          <w:sz w:val="28"/>
          <w:szCs w:val="28"/>
        </w:rPr>
        <w:t>е работы по сопровождению и модернизации комплексной системы предоставления государственных и муниципальных услуг Пензенской области, содержащее показатели результатов деятельности в следующих объемах: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консультационное сопровождение пользователей при рег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истрации, тестировании и работе  КСПГМУ  - 1906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ед. Исполнение за 2023 год составило 1906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сопровождаемых услуг в соответствии с требованиями Постановления Правительства РФ от 26.03.2016 № 236 «О требованиях к предоставлению в эл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ектронной форме государственных и муниципальных услуг» и сводными матрицами составов действий, выполнение которых обеспечивается заявителю в электронной форме – 6486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ед. Исполнение за 12 месяцев 2023г. составило 6486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сопровождае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мых сервисов – не менее 72. Исполнение за 12 месяцев 2023. составило 72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сбоев в системе, повлекших за собой ее неработоспособность в течение 24 часов и боле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е-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; Суммарное время недоступности системы за 12 месяцев 2023г. (за исключение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 времени для проведения регламентных работ) -  0/0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Бюджетному учреждению Пензенской области «Аэропорт города Пензы» в целях осуществления деятельности, предусмотренной Уставом, утверждено государственное задание на организацию работ по </w:t>
      </w:r>
      <w:r>
        <w:rPr>
          <w:rFonts w:ascii="Calibri" w:eastAsia="Calibri" w:hAnsi="Calibri" w:cs="Calibri"/>
          <w:color w:val="000000"/>
          <w:sz w:val="28"/>
          <w:szCs w:val="28"/>
        </w:rPr>
        <w:t>обслуживанию населения воздушным транспортом с показателями: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- количество отправленных пассажиров: план -155016 чел., факт-175956 чел.;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прибывших пассажиров: план -155016 чел., факт – 174516 чел.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Сведения о финансовых вложениях по состоянию </w:t>
      </w:r>
      <w:r>
        <w:rPr>
          <w:rFonts w:ascii="Calibri" w:eastAsia="Calibri" w:hAnsi="Calibri" w:cs="Calibri"/>
          <w:color w:val="000000"/>
          <w:sz w:val="28"/>
          <w:szCs w:val="28"/>
        </w:rPr>
        <w:t>на 01.01.2023 г. приведены в ф. 0503171 приложения.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Финансовые вложения – участие в ГБУ «Безопасный регион» - 752 333,6 тыс. руб., участие в ГБУ ПО «Аэропорт города Пенза»» - 212 001,7 тыс. руб., 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 Министерством не производилось отвлечение </w:t>
      </w:r>
      <w:r>
        <w:rPr>
          <w:rFonts w:ascii="Calibri" w:eastAsia="Calibri" w:hAnsi="Calibri" w:cs="Calibri"/>
          <w:color w:val="000000"/>
          <w:sz w:val="28"/>
          <w:szCs w:val="28"/>
        </w:rPr>
        <w:t>бюджетных сре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дств в ф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инансовые вложения (депозиты, акции, облигации, векселя, уставные фонды и т. п). Долговых обязательств по кредитам не имеется.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Недостач и хищений денежных средств и материальных ценностей в отчетном году не установлено.</w:t>
      </w:r>
    </w:p>
    <w:p w:rsidR="00CB07C6" w:rsidRDefault="00FF34A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CB07C6" w:rsidRDefault="00FF34AF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5. Прочие в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>опросы деятельности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Бюджетный учет осуществляется на основании оформленных надлежащим образом первичных документов. Ведение бюджетного учета и формирование бюджетной отчетности  полностью осуществляется при помощи программы АС «Смета». </w:t>
      </w:r>
    </w:p>
    <w:p w:rsidR="00CB07C6" w:rsidRDefault="00FF34AF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отчетном периоде Министерством осуществлялись мероприятия по внутреннему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контролю за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соблюдением требований бюджетного законодательства, соблюдением финансовой дисциплины и эффективным использованием материальных и финансовых ресурсов, а также правильным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ведением бюджетного учета и составлением отчетности. </w:t>
      </w:r>
    </w:p>
    <w:p w:rsidR="00CB07C6" w:rsidRDefault="00FF34AF">
      <w:pPr>
        <w:spacing w:line="32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В связи с отсутствием числового значения у всех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показателей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предусмотренных формами бюджетной отчетности, в составе бюджетной отчетности за 2023 год отсутствуют следующие формы отчетности:</w:t>
      </w:r>
    </w:p>
    <w:p w:rsidR="00CB07C6" w:rsidRDefault="00FF34AF">
      <w:pPr>
        <w:spacing w:line="30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softHyphen/>
        <w:t>-   таб</w:t>
      </w:r>
      <w:r>
        <w:rPr>
          <w:rFonts w:ascii="Calibri" w:eastAsia="Calibri" w:hAnsi="Calibri" w:cs="Calibri"/>
          <w:color w:val="000000"/>
          <w:sz w:val="28"/>
          <w:szCs w:val="28"/>
        </w:rPr>
        <w:t>лица 6 «Сведения о проведении инвентаризаций»;</w:t>
      </w:r>
    </w:p>
    <w:p w:rsidR="00CB07C6" w:rsidRDefault="00FF34AF">
      <w:pPr>
        <w:spacing w:line="288" w:lineRule="atLeast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показателей отчетности субъекта бюджетной отчетности";</w:t>
      </w:r>
    </w:p>
    <w:p w:rsidR="00CB07C6" w:rsidRDefault="00FF34AF">
      <w:pPr>
        <w:spacing w:line="288" w:lineRule="atLeast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-   таблица 15 "Причины увеличения просроченной задолженности".</w:t>
      </w:r>
    </w:p>
    <w:p w:rsidR="00CB07C6" w:rsidRDefault="00FF34AF">
      <w:pPr>
        <w:spacing w:line="30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форма 0503166 «Сведения об исполнении мероприятий в рамк</w:t>
      </w:r>
      <w:r>
        <w:rPr>
          <w:rFonts w:ascii="Calibri" w:eastAsia="Calibri" w:hAnsi="Calibri" w:cs="Calibri"/>
          <w:color w:val="000000"/>
          <w:sz w:val="28"/>
          <w:szCs w:val="28"/>
        </w:rPr>
        <w:t>ах целевых программ»;</w:t>
      </w:r>
    </w:p>
    <w:p w:rsidR="00CB07C6" w:rsidRDefault="00FF34AF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0503167 «Сведения о целевых иностранных кредитах»;</w:t>
      </w:r>
    </w:p>
    <w:p w:rsidR="00CB07C6" w:rsidRDefault="00FF34AF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0503172 «Сведения о государственном (муниципальном) долге»;</w:t>
      </w:r>
    </w:p>
    <w:p w:rsidR="00CB07C6" w:rsidRDefault="00FF34AF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форма 0503174 «Сведения о доходах бюджета от перечисления части прибыли (дивидендов) государственных (муниципал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ьных) унитарных предприятий, иных организаций с государственным участием в капитале; </w:t>
      </w:r>
    </w:p>
    <w:p w:rsidR="00CB07C6" w:rsidRDefault="00FF34AF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0503184 «Справка о суммах консолидированных поступлений, подлежащих зачислению на счет бюджета»;</w:t>
      </w:r>
    </w:p>
    <w:p w:rsidR="00CB07C6" w:rsidRDefault="00FF34AF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0503296 « Сведения об исполнении судебных решений по денежным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обязательствам бюджета».</w:t>
      </w:r>
    </w:p>
    <w:p w:rsidR="00CB07C6" w:rsidRDefault="00FF34AF">
      <w:pPr>
        <w:spacing w:line="300" w:lineRule="atLeast"/>
        <w:ind w:left="6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Инвентаризация имущества и обязатель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ств пр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оведена по состоянию на 01.01.2024 г. в целях составления годовой бухгалтерской отчетности на основании приказа от 29.12.2023 № 795-о/д. Расхождений фактического наличия с данными бюджетно</w:t>
      </w:r>
      <w:r>
        <w:rPr>
          <w:rFonts w:ascii="Calibri" w:eastAsia="Calibri" w:hAnsi="Calibri" w:cs="Calibri"/>
          <w:color w:val="000000"/>
          <w:sz w:val="28"/>
          <w:szCs w:val="28"/>
        </w:rPr>
        <w:t>го учета не установлено. Выверка расчетов с поставщиками, с внебюджетными фондами проведена. Расхождений не установлено.     </w:t>
      </w:r>
    </w:p>
    <w:p w:rsidR="00CB07C6" w:rsidRDefault="00FF34AF">
      <w:pPr>
        <w:pBdr>
          <w:bottom w:val="single" w:sz="12" w:space="0" w:color="000000"/>
        </w:pBdr>
        <w:rPr>
          <w:color w:val="000000"/>
        </w:rPr>
      </w:pPr>
      <w:r>
        <w:rPr>
          <w:rFonts w:ascii="Courier New" w:eastAsia="Courier New" w:hAnsi="Courier New" w:cs="Courier New"/>
          <w:color w:val="000000"/>
          <w:sz w:val="28"/>
          <w:szCs w:val="28"/>
        </w:rPr>
        <w:t> </w:t>
      </w:r>
    </w:p>
    <w:p w:rsidR="00CB07C6" w:rsidRDefault="00FF34AF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CB07C6" w:rsidRDefault="00FF34AF">
      <w:r>
        <w:t> </w:t>
      </w:r>
    </w:p>
    <w:p w:rsidR="00CB07C6" w:rsidRDefault="00FF34A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1432"/>
      </w:tblGrid>
      <w:tr w:rsidR="00CB07C6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CB07C6"/>
        </w:tc>
      </w:tr>
      <w:tr w:rsidR="00CB07C6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B07C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B07C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CB07C6">
            <w:pPr>
              <w:rPr>
                <w:sz w:val="24"/>
              </w:rPr>
            </w:pPr>
          </w:p>
        </w:tc>
      </w:tr>
      <w:tr w:rsidR="00CB07C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подписи)</w:t>
            </w:r>
          </w:p>
        </w:tc>
      </w:tr>
      <w:tr w:rsidR="00CB07C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</w:tr>
      <w:tr w:rsidR="00CB07C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07C6" w:rsidRDefault="00CB07C6">
            <w:pPr>
              <w:rPr>
                <w:sz w:val="24"/>
              </w:rPr>
            </w:pPr>
          </w:p>
        </w:tc>
      </w:tr>
      <w:tr w:rsidR="00CB07C6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CB07C6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FF34A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CB07C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07C6" w:rsidRDefault="00CB07C6">
            <w:pPr>
              <w:rPr>
                <w:sz w:val="24"/>
              </w:rPr>
            </w:pPr>
          </w:p>
        </w:tc>
      </w:tr>
    </w:tbl>
    <w:p w:rsidR="00CB07C6" w:rsidRDefault="00FF34AF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Лисицына Лариса Алексеевна, Сертификат: 00DDF385610F1170BDFDC10E1E511F4421, Действителен: с 06.04.2023 по 29.06.2024),Руководитель(Балакин Сергей Львович, Сертификат: 67E6069A7185CB24AAF50A6EE5451CE3, Действителен: с 12.07.2023 по 04.10.2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024)        </w:t>
      </w:r>
    </w:p>
    <w:sectPr w:rsidR="00CB07C6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944B3"/>
    <w:multiLevelType w:val="hybridMultilevel"/>
    <w:tmpl w:val="267251BE"/>
    <w:lvl w:ilvl="0" w:tplc="380A290D">
      <w:start w:val="2"/>
      <w:numFmt w:val="decimal"/>
      <w:lvlText w:val="%1."/>
      <w:lvlJc w:val="left"/>
      <w:pPr>
        <w:ind w:left="720" w:hanging="360"/>
      </w:pPr>
    </w:lvl>
    <w:lvl w:ilvl="1" w:tplc="160D53B7">
      <w:start w:val="1"/>
      <w:numFmt w:val="decimal"/>
      <w:lvlText w:val="%2."/>
      <w:lvlJc w:val="left"/>
      <w:pPr>
        <w:ind w:left="1440" w:hanging="360"/>
      </w:pPr>
    </w:lvl>
    <w:lvl w:ilvl="2" w:tplc="77A8FD2E">
      <w:start w:val="1"/>
      <w:numFmt w:val="decimal"/>
      <w:lvlText w:val="%3."/>
      <w:lvlJc w:val="left"/>
      <w:pPr>
        <w:ind w:left="2160" w:hanging="360"/>
      </w:pPr>
    </w:lvl>
    <w:lvl w:ilvl="3" w:tplc="72B37DB9">
      <w:start w:val="1"/>
      <w:numFmt w:val="decimal"/>
      <w:lvlText w:val="%4."/>
      <w:lvlJc w:val="left"/>
      <w:pPr>
        <w:ind w:left="2880" w:hanging="360"/>
      </w:pPr>
    </w:lvl>
    <w:lvl w:ilvl="4" w:tplc="57D7C91F">
      <w:start w:val="1"/>
      <w:numFmt w:val="decimal"/>
      <w:lvlText w:val="%5."/>
      <w:lvlJc w:val="left"/>
      <w:pPr>
        <w:ind w:left="3600" w:hanging="360"/>
      </w:pPr>
    </w:lvl>
    <w:lvl w:ilvl="5" w:tplc="60F896F5">
      <w:start w:val="1"/>
      <w:numFmt w:val="decimal"/>
      <w:lvlText w:val="%6."/>
      <w:lvlJc w:val="left"/>
      <w:pPr>
        <w:ind w:left="4320" w:hanging="360"/>
      </w:pPr>
    </w:lvl>
    <w:lvl w:ilvl="6" w:tplc="21CBA75F">
      <w:start w:val="1"/>
      <w:numFmt w:val="decimal"/>
      <w:lvlText w:val="%7."/>
      <w:lvlJc w:val="left"/>
      <w:pPr>
        <w:ind w:left="5040" w:hanging="360"/>
      </w:pPr>
    </w:lvl>
    <w:lvl w:ilvl="7" w:tplc="405029FC">
      <w:start w:val="1"/>
      <w:numFmt w:val="decimal"/>
      <w:lvlText w:val="%8."/>
      <w:lvlJc w:val="left"/>
      <w:pPr>
        <w:ind w:left="5760" w:hanging="360"/>
      </w:pPr>
    </w:lvl>
    <w:lvl w:ilvl="8" w:tplc="7495AF7F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196184D8"/>
    <w:multiLevelType w:val="hybridMultilevel"/>
    <w:tmpl w:val="70D63D12"/>
    <w:lvl w:ilvl="0" w:tplc="751BBA46">
      <w:start w:val="3"/>
      <w:numFmt w:val="decimal"/>
      <w:lvlText w:val="%1."/>
      <w:lvlJc w:val="left"/>
      <w:pPr>
        <w:ind w:left="720" w:hanging="360"/>
      </w:pPr>
    </w:lvl>
    <w:lvl w:ilvl="1" w:tplc="33D78246">
      <w:start w:val="1"/>
      <w:numFmt w:val="decimal"/>
      <w:lvlText w:val="%2."/>
      <w:lvlJc w:val="left"/>
      <w:pPr>
        <w:ind w:left="1440" w:hanging="360"/>
      </w:pPr>
    </w:lvl>
    <w:lvl w:ilvl="2" w:tplc="26B1B904">
      <w:start w:val="1"/>
      <w:numFmt w:val="decimal"/>
      <w:lvlText w:val="%3."/>
      <w:lvlJc w:val="left"/>
      <w:pPr>
        <w:ind w:left="2160" w:hanging="360"/>
      </w:pPr>
    </w:lvl>
    <w:lvl w:ilvl="3" w:tplc="642E1B84">
      <w:start w:val="1"/>
      <w:numFmt w:val="decimal"/>
      <w:lvlText w:val="%4."/>
      <w:lvlJc w:val="left"/>
      <w:pPr>
        <w:ind w:left="2880" w:hanging="360"/>
      </w:pPr>
    </w:lvl>
    <w:lvl w:ilvl="4" w:tplc="2754CE5A">
      <w:start w:val="1"/>
      <w:numFmt w:val="decimal"/>
      <w:lvlText w:val="%5."/>
      <w:lvlJc w:val="left"/>
      <w:pPr>
        <w:ind w:left="3600" w:hanging="360"/>
      </w:pPr>
    </w:lvl>
    <w:lvl w:ilvl="5" w:tplc="4F2192CC">
      <w:start w:val="1"/>
      <w:numFmt w:val="decimal"/>
      <w:lvlText w:val="%6."/>
      <w:lvlJc w:val="left"/>
      <w:pPr>
        <w:ind w:left="4320" w:hanging="360"/>
      </w:pPr>
    </w:lvl>
    <w:lvl w:ilvl="6" w:tplc="4720344C">
      <w:start w:val="1"/>
      <w:numFmt w:val="decimal"/>
      <w:lvlText w:val="%7."/>
      <w:lvlJc w:val="left"/>
      <w:pPr>
        <w:ind w:left="5040" w:hanging="360"/>
      </w:pPr>
    </w:lvl>
    <w:lvl w:ilvl="7" w:tplc="17F45475">
      <w:start w:val="1"/>
      <w:numFmt w:val="decimal"/>
      <w:lvlText w:val="%8."/>
      <w:lvlJc w:val="left"/>
      <w:pPr>
        <w:ind w:left="5760" w:hanging="360"/>
      </w:pPr>
    </w:lvl>
    <w:lvl w:ilvl="8" w:tplc="3473646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2C4B81EF"/>
    <w:multiLevelType w:val="hybridMultilevel"/>
    <w:tmpl w:val="7806F366"/>
    <w:lvl w:ilvl="0" w:tplc="48ACB30A">
      <w:start w:val="4"/>
      <w:numFmt w:val="decimal"/>
      <w:lvlText w:val="%1."/>
      <w:lvlJc w:val="left"/>
      <w:pPr>
        <w:ind w:left="720" w:hanging="360"/>
      </w:pPr>
    </w:lvl>
    <w:lvl w:ilvl="1" w:tplc="2295588F">
      <w:start w:val="1"/>
      <w:numFmt w:val="decimal"/>
      <w:lvlText w:val="%2."/>
      <w:lvlJc w:val="left"/>
      <w:pPr>
        <w:ind w:left="1440" w:hanging="360"/>
      </w:pPr>
    </w:lvl>
    <w:lvl w:ilvl="2" w:tplc="42607BFE">
      <w:start w:val="1"/>
      <w:numFmt w:val="decimal"/>
      <w:lvlText w:val="%3."/>
      <w:lvlJc w:val="left"/>
      <w:pPr>
        <w:ind w:left="2160" w:hanging="360"/>
      </w:pPr>
    </w:lvl>
    <w:lvl w:ilvl="3" w:tplc="1F2B45F7">
      <w:start w:val="1"/>
      <w:numFmt w:val="decimal"/>
      <w:lvlText w:val="%4."/>
      <w:lvlJc w:val="left"/>
      <w:pPr>
        <w:ind w:left="2880" w:hanging="360"/>
      </w:pPr>
    </w:lvl>
    <w:lvl w:ilvl="4" w:tplc="0D2F98B3">
      <w:start w:val="1"/>
      <w:numFmt w:val="decimal"/>
      <w:lvlText w:val="%5."/>
      <w:lvlJc w:val="left"/>
      <w:pPr>
        <w:ind w:left="3600" w:hanging="360"/>
      </w:pPr>
    </w:lvl>
    <w:lvl w:ilvl="5" w:tplc="2BF833DE">
      <w:start w:val="1"/>
      <w:numFmt w:val="decimal"/>
      <w:lvlText w:val="%6."/>
      <w:lvlJc w:val="left"/>
      <w:pPr>
        <w:ind w:left="4320" w:hanging="360"/>
      </w:pPr>
    </w:lvl>
    <w:lvl w:ilvl="6" w:tplc="56554460">
      <w:start w:val="1"/>
      <w:numFmt w:val="decimal"/>
      <w:lvlText w:val="%7."/>
      <w:lvlJc w:val="left"/>
      <w:pPr>
        <w:ind w:left="5040" w:hanging="360"/>
      </w:pPr>
    </w:lvl>
    <w:lvl w:ilvl="7" w:tplc="25327F7C">
      <w:start w:val="1"/>
      <w:numFmt w:val="decimal"/>
      <w:lvlText w:val="%8."/>
      <w:lvlJc w:val="left"/>
      <w:pPr>
        <w:ind w:left="5760" w:hanging="360"/>
      </w:pPr>
    </w:lvl>
    <w:lvl w:ilvl="8" w:tplc="09CD9F27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588632A8"/>
    <w:multiLevelType w:val="hybridMultilevel"/>
    <w:tmpl w:val="BB96E048"/>
    <w:lvl w:ilvl="0" w:tplc="644E1D5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191027A3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1E19999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2D86EAB2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1D725DE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74D2576A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0B560C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0F900230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2204F668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4">
    <w:nsid w:val="7F720A0D"/>
    <w:multiLevelType w:val="hybridMultilevel"/>
    <w:tmpl w:val="6F6AD122"/>
    <w:lvl w:ilvl="0" w:tplc="3B38DE80">
      <w:start w:val="1"/>
      <w:numFmt w:val="decimal"/>
      <w:lvlText w:val="%1."/>
      <w:lvlJc w:val="left"/>
      <w:pPr>
        <w:ind w:left="720" w:hanging="360"/>
      </w:pPr>
    </w:lvl>
    <w:lvl w:ilvl="1" w:tplc="08837D35">
      <w:start w:val="1"/>
      <w:numFmt w:val="decimal"/>
      <w:lvlText w:val="%2."/>
      <w:lvlJc w:val="left"/>
      <w:pPr>
        <w:ind w:left="1440" w:hanging="360"/>
      </w:pPr>
    </w:lvl>
    <w:lvl w:ilvl="2" w:tplc="067E7FFA">
      <w:start w:val="1"/>
      <w:numFmt w:val="decimal"/>
      <w:lvlText w:val="%3."/>
      <w:lvlJc w:val="left"/>
      <w:pPr>
        <w:ind w:left="2160" w:hanging="360"/>
      </w:pPr>
    </w:lvl>
    <w:lvl w:ilvl="3" w:tplc="22AE861C">
      <w:start w:val="1"/>
      <w:numFmt w:val="decimal"/>
      <w:lvlText w:val="%4."/>
      <w:lvlJc w:val="left"/>
      <w:pPr>
        <w:ind w:left="2880" w:hanging="360"/>
      </w:pPr>
    </w:lvl>
    <w:lvl w:ilvl="4" w:tplc="69D92955">
      <w:start w:val="1"/>
      <w:numFmt w:val="decimal"/>
      <w:lvlText w:val="%5."/>
      <w:lvlJc w:val="left"/>
      <w:pPr>
        <w:ind w:left="3600" w:hanging="360"/>
      </w:pPr>
    </w:lvl>
    <w:lvl w:ilvl="5" w:tplc="2C606FFD">
      <w:start w:val="1"/>
      <w:numFmt w:val="decimal"/>
      <w:lvlText w:val="%6."/>
      <w:lvlJc w:val="left"/>
      <w:pPr>
        <w:ind w:left="4320" w:hanging="360"/>
      </w:pPr>
    </w:lvl>
    <w:lvl w:ilvl="6" w:tplc="1C1F7665">
      <w:start w:val="1"/>
      <w:numFmt w:val="decimal"/>
      <w:lvlText w:val="%7."/>
      <w:lvlJc w:val="left"/>
      <w:pPr>
        <w:ind w:left="5040" w:hanging="360"/>
      </w:pPr>
    </w:lvl>
    <w:lvl w:ilvl="7" w:tplc="47F5B4FE">
      <w:start w:val="1"/>
      <w:numFmt w:val="decimal"/>
      <w:lvlText w:val="%8."/>
      <w:lvlJc w:val="left"/>
      <w:pPr>
        <w:ind w:left="5760" w:hanging="360"/>
      </w:pPr>
    </w:lvl>
    <w:lvl w:ilvl="8" w:tplc="3B3E5642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7C6"/>
    <w:rsid w:val="00CB07C6"/>
    <w:rsid w:val="00FF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3259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Лисицына Лариса Алексеевна</dc:creator>
  <cp:lastModifiedBy>Лисицина Лариса Алексеевна</cp:lastModifiedBy>
  <cp:revision>2</cp:revision>
  <dcterms:created xsi:type="dcterms:W3CDTF">2026-06-10T07:31:00Z</dcterms:created>
  <dcterms:modified xsi:type="dcterms:W3CDTF">2026-06-10T07:31:00Z</dcterms:modified>
</cp:coreProperties>
</file>